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8B2030" w:rsidRPr="008B2030" w:rsidRDefault="008B2030" w:rsidP="004677C8">
            <w:pPr>
              <w:pStyle w:val="ConsPlusNonformat"/>
              <w:jc w:val="center"/>
              <w:rPr>
                <w:rFonts w:ascii="Times New Roman" w:hAnsi="Times New Roman"/>
                <w:sz w:val="28"/>
                <w:szCs w:val="28"/>
              </w:rPr>
            </w:pPr>
            <w:r w:rsidRPr="008B2030">
              <w:rPr>
                <w:rFonts w:ascii="Times New Roman" w:hAnsi="Times New Roman"/>
                <w:iCs/>
                <w:sz w:val="28"/>
                <w:szCs w:val="28"/>
              </w:rPr>
              <w:t xml:space="preserve">Проект </w:t>
            </w:r>
            <w:r w:rsidRPr="008B2030">
              <w:rPr>
                <w:rFonts w:ascii="Times New Roman" w:hAnsi="Times New Roman"/>
                <w:sz w:val="28"/>
                <w:szCs w:val="28"/>
              </w:rPr>
              <w:t xml:space="preserve">постановление администрации муниципального образования город </w:t>
            </w:r>
            <w:r w:rsidRPr="00A348B2">
              <w:rPr>
                <w:rFonts w:ascii="Times New Roman" w:hAnsi="Times New Roman"/>
                <w:sz w:val="28"/>
                <w:szCs w:val="28"/>
              </w:rPr>
              <w:t xml:space="preserve">Новороссийск </w:t>
            </w:r>
            <w:r w:rsidR="00A348B2" w:rsidRPr="00A348B2">
              <w:rPr>
                <w:rFonts w:ascii="Times New Roman" w:hAnsi="Times New Roman"/>
                <w:sz w:val="28"/>
                <w:szCs w:val="28"/>
              </w:rPr>
              <w:t>«О внесении изменений в постановление администрации муниципального образования город Новороссийск от 03 октября 2022 года              № 5760 «Об утверждении административного регламента по предоставлению муниципальной услуги: «Выдача ра</w:t>
            </w:r>
            <w:bookmarkStart w:id="1" w:name="_GoBack"/>
            <w:bookmarkEnd w:id="1"/>
            <w:r w:rsidR="00A348B2" w:rsidRPr="00A348B2">
              <w:rPr>
                <w:rFonts w:ascii="Times New Roman" w:hAnsi="Times New Roman"/>
                <w:sz w:val="28"/>
                <w:szCs w:val="28"/>
              </w:rPr>
              <w:t>зрешений на ввод в эксплуатацию построенных, реконструированных объектов капитального строительства» и признании утратившими силу некоторых постановлений администрации муниципального образования город Новороссийск»</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24450F">
              <w:rPr>
                <w:rFonts w:ascii="Times New Roman" w:hAnsi="Times New Roman" w:cs="Times New Roman"/>
                <w:sz w:val="24"/>
                <w:szCs w:val="24"/>
              </w:rPr>
              <w:t>0</w:t>
            </w:r>
            <w:r w:rsidR="00A348B2">
              <w:rPr>
                <w:rFonts w:ascii="Times New Roman" w:hAnsi="Times New Roman" w:cs="Times New Roman"/>
                <w:sz w:val="24"/>
                <w:szCs w:val="24"/>
              </w:rPr>
              <w:t>4</w:t>
            </w:r>
            <w:r w:rsidR="0024450F">
              <w:rPr>
                <w:rFonts w:ascii="Times New Roman" w:hAnsi="Times New Roman" w:cs="Times New Roman"/>
                <w:sz w:val="24"/>
                <w:szCs w:val="24"/>
              </w:rPr>
              <w:t>.02</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w:t>
            </w:r>
            <w:r w:rsidRPr="00E73FDC">
              <w:rPr>
                <w:rFonts w:ascii="Times New Roman" w:hAnsi="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w:t>
            </w:r>
            <w:r w:rsidRPr="00E73FDC">
              <w:rPr>
                <w:rFonts w:ascii="Times New Roman" w:hAnsi="Times New Roman"/>
                <w:sz w:val="28"/>
                <w:szCs w:val="28"/>
              </w:rPr>
              <w:lastRenderedPageBreak/>
              <w:t>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348B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450F"/>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348B2"/>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44B18"/>
    <w:rsid w:val="00E659FD"/>
    <w:rsid w:val="00E669E1"/>
    <w:rsid w:val="00E72288"/>
    <w:rsid w:val="00E73D9D"/>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B31C-61A9-40A6-A313-9CF77951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35</cp:revision>
  <dcterms:created xsi:type="dcterms:W3CDTF">2023-04-12T09:11:00Z</dcterms:created>
  <dcterms:modified xsi:type="dcterms:W3CDTF">2025-01-22T12:31:00Z</dcterms:modified>
</cp:coreProperties>
</file>